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70" w:rsidRDefault="001C2E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C2E70" w:rsidRDefault="001C2E70"/>
    <w:p w:rsidR="001C2E70" w:rsidRDefault="00FB7869">
      <w:pPr>
        <w:rPr>
          <w:b/>
          <w:color w:val="3D906B"/>
        </w:rPr>
      </w:pPr>
      <w:r>
        <w:rPr>
          <w:b/>
          <w:color w:val="3D906B"/>
        </w:rPr>
        <w:t>ANNEXE 1</w:t>
      </w:r>
    </w:p>
    <w:tbl>
      <w:tblPr>
        <w:tblStyle w:val="a"/>
        <w:tblW w:w="13987" w:type="dxa"/>
        <w:tblLayout w:type="fixed"/>
        <w:tblLook w:val="0400" w:firstRow="0" w:lastRow="0" w:firstColumn="0" w:lastColumn="0" w:noHBand="0" w:noVBand="1"/>
      </w:tblPr>
      <w:tblGrid>
        <w:gridCol w:w="957"/>
        <w:gridCol w:w="718"/>
        <w:gridCol w:w="707"/>
        <w:gridCol w:w="941"/>
        <w:gridCol w:w="707"/>
        <w:gridCol w:w="1033"/>
        <w:gridCol w:w="1020"/>
        <w:gridCol w:w="1413"/>
        <w:gridCol w:w="1015"/>
        <w:gridCol w:w="1024"/>
        <w:gridCol w:w="890"/>
        <w:gridCol w:w="890"/>
        <w:gridCol w:w="923"/>
        <w:gridCol w:w="838"/>
        <w:gridCol w:w="911"/>
      </w:tblGrid>
      <w:tr w:rsidR="001C2E70">
        <w:trPr>
          <w:trHeight w:val="510"/>
          <w:tblHeader/>
        </w:trPr>
        <w:tc>
          <w:tcPr>
            <w:tcW w:w="13988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bookmarkStart w:id="0" w:name="_GoBack"/>
            <w:proofErr w:type="spellStart"/>
            <w:r>
              <w:rPr>
                <w:b/>
                <w:color w:val="FFFFFF"/>
                <w:sz w:val="32"/>
                <w:szCs w:val="32"/>
              </w:rPr>
              <w:t>Enregistrement</w:t>
            </w:r>
            <w:proofErr w:type="spellEnd"/>
            <w:r>
              <w:rPr>
                <w:b/>
                <w:color w:val="FFFFFF"/>
                <w:sz w:val="32"/>
                <w:szCs w:val="32"/>
              </w:rPr>
              <w:t xml:space="preserve"> des </w:t>
            </w:r>
            <w:proofErr w:type="spellStart"/>
            <w:r>
              <w:rPr>
                <w:b/>
                <w:color w:val="FFFFFF"/>
                <w:sz w:val="32"/>
                <w:szCs w:val="32"/>
              </w:rPr>
              <w:t>projets</w:t>
            </w:r>
            <w:bookmarkEnd w:id="0"/>
            <w:proofErr w:type="spellEnd"/>
          </w:p>
        </w:tc>
      </w:tr>
      <w:tr w:rsidR="001C2E70">
        <w:trPr>
          <w:trHeight w:val="1164"/>
          <w:tblHeader/>
        </w:trPr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Numéro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d'enregistrement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du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projet</w:t>
            </w:r>
            <w:proofErr w:type="spellEnd"/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Gestionnaire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de la zone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r>
              <w:rPr>
                <w:b/>
                <w:color w:val="414447"/>
                <w:sz w:val="16"/>
                <w:szCs w:val="16"/>
              </w:rPr>
              <w:t>Contact (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numéro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téléphone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>)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Coordinateur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du programme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r>
              <w:rPr>
                <w:b/>
                <w:color w:val="414447"/>
                <w:sz w:val="16"/>
                <w:szCs w:val="16"/>
              </w:rPr>
              <w:t>Contact (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numéro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téléphone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>)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Pr="00FB7869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  <w:lang w:val="de-DE"/>
              </w:rPr>
            </w:pPr>
            <w:r w:rsidRPr="00FB7869">
              <w:rPr>
                <w:b/>
                <w:color w:val="414447"/>
                <w:sz w:val="16"/>
                <w:szCs w:val="16"/>
                <w:lang w:val="de-DE"/>
              </w:rPr>
              <w:t>Nom des zones protégées / de la région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r>
              <w:rPr>
                <w:b/>
                <w:color w:val="414447"/>
                <w:sz w:val="16"/>
                <w:szCs w:val="16"/>
              </w:rPr>
              <w:t xml:space="preserve">Localisation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précise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du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projet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coordonnées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GPS)</w:t>
            </w: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r>
              <w:rPr>
                <w:b/>
                <w:color w:val="414447"/>
                <w:sz w:val="16"/>
                <w:szCs w:val="16"/>
              </w:rPr>
              <w:t xml:space="preserve">Description de la nature du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problème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, de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l'évaluation</w:t>
            </w:r>
            <w:proofErr w:type="spellEnd"/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r>
              <w:rPr>
                <w:b/>
                <w:color w:val="414447"/>
                <w:sz w:val="16"/>
                <w:szCs w:val="16"/>
              </w:rPr>
              <w:t xml:space="preserve">Description du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projet</w:t>
            </w:r>
            <w:proofErr w:type="spellEnd"/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r>
              <w:rPr>
                <w:b/>
                <w:color w:val="414447"/>
                <w:sz w:val="16"/>
                <w:szCs w:val="16"/>
              </w:rPr>
              <w:t xml:space="preserve">Description des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outils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et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matériaux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nécessaires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au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projet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clous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>, bois, ...)</w:t>
            </w: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Matériel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nécessaire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aux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volontaires</w:t>
            </w:r>
            <w:proofErr w:type="spellEnd"/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Nombre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volontaires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nécessaires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pour le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projet</w:t>
            </w:r>
            <w:proofErr w:type="spellEnd"/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Pr="00FB7869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  <w:lang w:val="de-DE"/>
              </w:rPr>
            </w:pPr>
            <w:r w:rsidRPr="00FB7869">
              <w:rPr>
                <w:b/>
                <w:color w:val="414447"/>
                <w:sz w:val="16"/>
                <w:szCs w:val="16"/>
                <w:lang w:val="de-DE"/>
              </w:rPr>
              <w:t>Délai estimé pour la réalisation du projet</w:t>
            </w: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Calendrier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(dates du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projet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Commentaires</w:t>
            </w:r>
            <w:proofErr w:type="spellEnd"/>
          </w:p>
        </w:tc>
      </w:tr>
      <w:tr w:rsidR="001C2E70">
        <w:trPr>
          <w:trHeight w:val="255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>G4G2022 - 1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 xml:space="preserve">Jean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Dupont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>Jane Do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proofErr w:type="spellStart"/>
            <w:r>
              <w:rPr>
                <w:b/>
                <w:color w:val="3D906B"/>
                <w:sz w:val="16"/>
                <w:szCs w:val="16"/>
              </w:rPr>
              <w:t>Grótta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Seltjarnarnes</w:t>
            </w:r>
            <w:proofErr w:type="spellEnd"/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 xml:space="preserve">De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nombreuses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plantes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envahissantes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prennent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le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dessus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sur les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plantes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indigènes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et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réduisent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la zone de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nidification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des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oiseaux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. Les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plantes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envahissantes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doivent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être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contrôlées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comme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indiqué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dans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le plan de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gestion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. 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proofErr w:type="spellStart"/>
            <w:r>
              <w:rPr>
                <w:b/>
                <w:color w:val="3D906B"/>
                <w:sz w:val="16"/>
                <w:szCs w:val="16"/>
              </w:rPr>
              <w:t>Enlèvement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des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plantes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envahissante</w:t>
            </w:r>
            <w:r>
              <w:rPr>
                <w:b/>
                <w:color w:val="3D906B"/>
                <w:sz w:val="16"/>
                <w:szCs w:val="16"/>
              </w:rPr>
              <w:t>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- avec les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racines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- Persil à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vache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et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Angélique</w:t>
            </w:r>
            <w:proofErr w:type="spellEnd"/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proofErr w:type="spellStart"/>
            <w:r>
              <w:rPr>
                <w:b/>
                <w:color w:val="3D906B"/>
                <w:sz w:val="16"/>
                <w:szCs w:val="16"/>
              </w:rPr>
              <w:t>Bêches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grandes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fourches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pour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enlever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les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racines</w:t>
            </w:r>
            <w:proofErr w:type="spellEnd"/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 xml:space="preserve">Gants,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chaussures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solides</w:t>
            </w:r>
            <w:proofErr w:type="spellEnd"/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jc w:val="center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>15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jc w:val="center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>1 jour (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si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nous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avons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15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volontaires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>)</w:t>
            </w: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 xml:space="preserve">Après le 15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août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lorsque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les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oiseaux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ne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nichent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plus.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FB7869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 xml:space="preserve">Le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projet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ne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peut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être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réalisé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que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lorsque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la marée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est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basse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>.</w:t>
            </w: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70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2E70" w:rsidRDefault="001C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2E70" w:rsidRDefault="001C2E70"/>
    <w:sectPr w:rsidR="001C2E70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70"/>
    <w:rsid w:val="001C2E70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5A918E-D986-4D57-98D2-13E58D8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1Cm30SR1PQrJiDmlyBzuYrF5g==">CgMxLjA4AHIhMXJJM25aOHUxLVd6UHRQblNMUkg1cW52UkpXOV95cjlt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Kermarec</dc:creator>
  <cp:lastModifiedBy>Stavri Katsiari</cp:lastModifiedBy>
  <cp:revision>2</cp:revision>
  <dcterms:created xsi:type="dcterms:W3CDTF">2024-10-09T08:05:00Z</dcterms:created>
  <dcterms:modified xsi:type="dcterms:W3CDTF">2024-10-09T08:05:00Z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